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3197" w14:textId="454C794D" w:rsidR="00037E95" w:rsidRPr="00037E95" w:rsidRDefault="00037E95" w:rsidP="00791557">
      <w:pPr>
        <w:rPr>
          <w:rFonts w:ascii="Times" w:hAnsi="Times" w:cs="Times New Roman"/>
          <w:sz w:val="22"/>
          <w:szCs w:val="22"/>
        </w:rPr>
      </w:pPr>
      <w:r w:rsidRPr="00037E95">
        <w:rPr>
          <w:rFonts w:ascii="Times" w:hAnsi="Times" w:cs="Times New Roman"/>
          <w:sz w:val="22"/>
          <w:szCs w:val="22"/>
        </w:rPr>
        <w:t>2020 ATC – Abstract Submission</w:t>
      </w:r>
      <w:r w:rsidRPr="00037E95">
        <w:rPr>
          <w:rFonts w:ascii="Times" w:hAnsi="Times" w:cs="Times New Roman"/>
          <w:sz w:val="22"/>
          <w:szCs w:val="22"/>
        </w:rPr>
        <w:tab/>
      </w:r>
    </w:p>
    <w:p w14:paraId="692840AC" w14:textId="77777777" w:rsidR="00037E95" w:rsidRPr="00037E95" w:rsidRDefault="00037E95" w:rsidP="00791557">
      <w:pPr>
        <w:rPr>
          <w:rFonts w:ascii="Times" w:hAnsi="Times" w:cs="Times New Roman"/>
          <w:b/>
          <w:bCs/>
          <w:sz w:val="22"/>
          <w:szCs w:val="22"/>
        </w:rPr>
      </w:pPr>
    </w:p>
    <w:p w14:paraId="5D16FB46" w14:textId="03F28249" w:rsidR="00791557" w:rsidRPr="00037E95" w:rsidRDefault="00791557" w:rsidP="00791557">
      <w:pPr>
        <w:rPr>
          <w:rFonts w:ascii="Times" w:hAnsi="Times" w:cs="Times New Roman"/>
          <w:b/>
          <w:bCs/>
          <w:sz w:val="22"/>
          <w:szCs w:val="22"/>
        </w:rPr>
      </w:pPr>
      <w:r w:rsidRPr="00037E95">
        <w:rPr>
          <w:rFonts w:ascii="Times" w:hAnsi="Times" w:cs="Times New Roman"/>
          <w:b/>
          <w:bCs/>
          <w:sz w:val="22"/>
          <w:szCs w:val="22"/>
        </w:rPr>
        <w:t>Sex differences in transplant decision-making</w:t>
      </w:r>
    </w:p>
    <w:p w14:paraId="4B66A7AE" w14:textId="77777777" w:rsidR="00037E95" w:rsidRPr="00037E95" w:rsidRDefault="00037E95" w:rsidP="00791557">
      <w:pPr>
        <w:rPr>
          <w:rFonts w:ascii="Times" w:eastAsia="Times New Roman" w:hAnsi="Times" w:cs="Times New Roman"/>
          <w:sz w:val="22"/>
          <w:szCs w:val="22"/>
        </w:rPr>
      </w:pPr>
    </w:p>
    <w:p w14:paraId="55B29C39" w14:textId="3C3B926E" w:rsidR="00791557" w:rsidRPr="00037E95" w:rsidRDefault="00791557" w:rsidP="00791557">
      <w:pPr>
        <w:rPr>
          <w:rFonts w:ascii="Times" w:eastAsia="Times New Roman" w:hAnsi="Times" w:cs="Times New Roman"/>
          <w:sz w:val="22"/>
          <w:szCs w:val="22"/>
          <w:vertAlign w:val="superscript"/>
        </w:rPr>
      </w:pPr>
      <w:proofErr w:type="spellStart"/>
      <w:r w:rsidRPr="00037E95">
        <w:rPr>
          <w:rFonts w:ascii="Times" w:eastAsia="Times New Roman" w:hAnsi="Times" w:cs="Times New Roman"/>
          <w:sz w:val="22"/>
          <w:szCs w:val="22"/>
        </w:rPr>
        <w:t>Aghna</w:t>
      </w:r>
      <w:proofErr w:type="spellEnd"/>
      <w:r w:rsidRPr="00037E95">
        <w:rPr>
          <w:rFonts w:ascii="Times" w:eastAsia="Times New Roman" w:hAnsi="Times" w:cs="Times New Roman"/>
          <w:sz w:val="22"/>
          <w:szCs w:val="22"/>
        </w:rPr>
        <w:t xml:space="preserve"> Wasim</w:t>
      </w:r>
      <w:r w:rsidRPr="00037E95">
        <w:rPr>
          <w:rFonts w:ascii="Times" w:eastAsia="Times New Roman" w:hAnsi="Times" w:cs="Times New Roman"/>
          <w:sz w:val="22"/>
          <w:szCs w:val="22"/>
          <w:vertAlign w:val="superscript"/>
        </w:rPr>
        <w:t>1</w:t>
      </w:r>
      <w:r w:rsidRPr="00037E95">
        <w:rPr>
          <w:rFonts w:ascii="Times" w:eastAsia="Times New Roman" w:hAnsi="Times" w:cs="Times New Roman"/>
          <w:sz w:val="22"/>
          <w:szCs w:val="22"/>
        </w:rPr>
        <w:t xml:space="preserve">, </w:t>
      </w:r>
      <w:proofErr w:type="spellStart"/>
      <w:r w:rsidRPr="00037E95">
        <w:rPr>
          <w:rFonts w:ascii="Times" w:eastAsia="Times New Roman" w:hAnsi="Times" w:cs="Times New Roman"/>
          <w:sz w:val="22"/>
          <w:szCs w:val="22"/>
        </w:rPr>
        <w:t>Hadia</w:t>
      </w:r>
      <w:proofErr w:type="spellEnd"/>
      <w:r w:rsidRPr="00037E95">
        <w:rPr>
          <w:rFonts w:ascii="Times" w:eastAsia="Times New Roman" w:hAnsi="Times" w:cs="Times New Roman"/>
          <w:sz w:val="22"/>
          <w:szCs w:val="22"/>
        </w:rPr>
        <w:t xml:space="preserve"> Rafiqzad</w:t>
      </w:r>
      <w:r w:rsidRPr="00037E95">
        <w:rPr>
          <w:rFonts w:ascii="Times" w:eastAsia="Times New Roman" w:hAnsi="Times" w:cs="Times New Roman"/>
          <w:sz w:val="22"/>
          <w:szCs w:val="22"/>
          <w:vertAlign w:val="superscript"/>
        </w:rPr>
        <w:t>1</w:t>
      </w:r>
      <w:r w:rsidRPr="00037E95">
        <w:rPr>
          <w:rFonts w:ascii="Times" w:eastAsia="Times New Roman" w:hAnsi="Times" w:cs="Times New Roman"/>
          <w:sz w:val="22"/>
          <w:szCs w:val="22"/>
        </w:rPr>
        <w:t xml:space="preserve">, </w:t>
      </w:r>
      <w:proofErr w:type="spellStart"/>
      <w:r w:rsidRPr="00037E95">
        <w:rPr>
          <w:rFonts w:ascii="Times" w:eastAsia="Times New Roman" w:hAnsi="Times" w:cs="Times New Roman"/>
          <w:color w:val="000000"/>
          <w:sz w:val="22"/>
          <w:szCs w:val="22"/>
        </w:rPr>
        <w:t>Melika</w:t>
      </w:r>
      <w:proofErr w:type="spellEnd"/>
      <w:r w:rsidRPr="00037E95">
        <w:rPr>
          <w:rFonts w:ascii="Times" w:eastAsia="Times New Roman" w:hAnsi="Times" w:cs="Times New Roman"/>
          <w:color w:val="000000"/>
          <w:sz w:val="22"/>
          <w:szCs w:val="22"/>
        </w:rPr>
        <w:t xml:space="preserve"> Dastgheib</w:t>
      </w:r>
      <w:r w:rsidRPr="00037E95">
        <w:rPr>
          <w:rFonts w:ascii="Times" w:eastAsia="Times New Roman" w:hAnsi="Times" w:cs="Times New Roman"/>
          <w:sz w:val="22"/>
          <w:szCs w:val="22"/>
          <w:vertAlign w:val="superscript"/>
        </w:rPr>
        <w:t>1</w:t>
      </w:r>
      <w:r w:rsidRPr="00037E95">
        <w:rPr>
          <w:rFonts w:ascii="Times" w:eastAsia="Times New Roman" w:hAnsi="Times" w:cs="Times New Roman"/>
          <w:color w:val="000000"/>
          <w:sz w:val="22"/>
          <w:szCs w:val="22"/>
        </w:rPr>
        <w:t>, Heather Ford</w:t>
      </w:r>
      <w:r w:rsidRPr="00037E95">
        <w:rPr>
          <w:rFonts w:ascii="Times" w:eastAsia="Times New Roman" w:hAnsi="Times" w:cs="Times New Roman"/>
          <w:sz w:val="22"/>
          <w:szCs w:val="22"/>
          <w:vertAlign w:val="superscript"/>
        </w:rPr>
        <w:t>1</w:t>
      </w:r>
      <w:r w:rsidRPr="00037E95">
        <w:rPr>
          <w:rFonts w:ascii="Times" w:eastAsia="Times New Roman" w:hAnsi="Times" w:cs="Times New Roman"/>
          <w:color w:val="000000"/>
          <w:sz w:val="22"/>
          <w:szCs w:val="22"/>
        </w:rPr>
        <w:t>, Sara Macanovic</w:t>
      </w:r>
      <w:r w:rsidRPr="00037E95">
        <w:rPr>
          <w:rFonts w:ascii="Times" w:eastAsia="Times New Roman" w:hAnsi="Times" w:cs="Times New Roman"/>
          <w:sz w:val="22"/>
          <w:szCs w:val="22"/>
          <w:vertAlign w:val="superscript"/>
        </w:rPr>
        <w:t>1</w:t>
      </w:r>
      <w:r w:rsidRPr="00037E95">
        <w:rPr>
          <w:rFonts w:ascii="Times" w:eastAsia="Times New Roman" w:hAnsi="Times" w:cs="Times New Roman"/>
          <w:color w:val="000000"/>
          <w:sz w:val="22"/>
          <w:szCs w:val="22"/>
        </w:rPr>
        <w:t>, </w:t>
      </w:r>
      <w:proofErr w:type="spellStart"/>
      <w:r w:rsidRPr="00037E95">
        <w:rPr>
          <w:rFonts w:ascii="Times" w:eastAsia="Times New Roman" w:hAnsi="Times" w:cs="Times New Roman"/>
          <w:sz w:val="22"/>
          <w:szCs w:val="22"/>
        </w:rPr>
        <w:t>Kuba</w:t>
      </w:r>
      <w:proofErr w:type="spellEnd"/>
      <w:r w:rsidRPr="00037E95">
        <w:rPr>
          <w:rFonts w:ascii="Times" w:eastAsia="Times New Roman" w:hAnsi="Times" w:cs="Times New Roman"/>
          <w:sz w:val="22"/>
          <w:szCs w:val="22"/>
        </w:rPr>
        <w:t xml:space="preserve"> Wernerowski</w:t>
      </w:r>
      <w:r w:rsidRPr="00037E95">
        <w:rPr>
          <w:rFonts w:ascii="Times" w:eastAsia="Times New Roman" w:hAnsi="Times" w:cs="Times New Roman"/>
          <w:sz w:val="22"/>
          <w:szCs w:val="22"/>
          <w:vertAlign w:val="superscript"/>
        </w:rPr>
        <w:t>1</w:t>
      </w:r>
      <w:r w:rsidRPr="00037E95">
        <w:rPr>
          <w:rFonts w:ascii="Times" w:eastAsia="Times New Roman" w:hAnsi="Times" w:cs="Times New Roman"/>
          <w:sz w:val="22"/>
          <w:szCs w:val="22"/>
        </w:rPr>
        <w:t xml:space="preserve">, </w:t>
      </w:r>
      <w:proofErr w:type="spellStart"/>
      <w:r w:rsidRPr="00037E95">
        <w:rPr>
          <w:rFonts w:ascii="Times" w:eastAsia="Times New Roman" w:hAnsi="Times" w:cs="Times New Roman"/>
          <w:sz w:val="22"/>
          <w:szCs w:val="22"/>
        </w:rPr>
        <w:t>Setareh</w:t>
      </w:r>
      <w:proofErr w:type="spellEnd"/>
      <w:r w:rsidRPr="00037E95">
        <w:rPr>
          <w:rFonts w:ascii="Times" w:eastAsia="Times New Roman" w:hAnsi="Times" w:cs="Times New Roman"/>
          <w:sz w:val="22"/>
          <w:szCs w:val="22"/>
        </w:rPr>
        <w:t xml:space="preserve"> Aghamohammadi</w:t>
      </w:r>
      <w:r w:rsidRPr="00037E95">
        <w:rPr>
          <w:rFonts w:ascii="Times" w:eastAsia="Times New Roman" w:hAnsi="Times" w:cs="Times New Roman"/>
          <w:sz w:val="22"/>
          <w:szCs w:val="22"/>
          <w:vertAlign w:val="superscript"/>
        </w:rPr>
        <w:t>1</w:t>
      </w:r>
      <w:r w:rsidRPr="00037E95">
        <w:rPr>
          <w:rFonts w:ascii="Times" w:eastAsia="Times New Roman" w:hAnsi="Times" w:cs="Times New Roman"/>
          <w:sz w:val="22"/>
          <w:szCs w:val="22"/>
        </w:rPr>
        <w:t>, Marta Novak</w:t>
      </w:r>
      <w:r w:rsidRPr="00037E95">
        <w:rPr>
          <w:rFonts w:ascii="Times" w:eastAsia="Times New Roman" w:hAnsi="Times" w:cs="Times New Roman"/>
          <w:sz w:val="22"/>
          <w:szCs w:val="22"/>
          <w:vertAlign w:val="superscript"/>
        </w:rPr>
        <w:t>1</w:t>
      </w:r>
      <w:r w:rsidRPr="00037E95">
        <w:rPr>
          <w:rFonts w:ascii="Times" w:eastAsia="Times New Roman" w:hAnsi="Times" w:cs="Times New Roman"/>
          <w:sz w:val="22"/>
          <w:szCs w:val="22"/>
        </w:rPr>
        <w:t xml:space="preserve">, </w:t>
      </w:r>
      <w:r w:rsidRPr="00037E95">
        <w:rPr>
          <w:rFonts w:ascii="Times" w:hAnsi="Times" w:cs="Times New Roman"/>
          <w:sz w:val="22"/>
          <w:szCs w:val="22"/>
        </w:rPr>
        <w:t>Amy D. Waterman</w:t>
      </w:r>
      <w:r w:rsidRPr="00037E95">
        <w:rPr>
          <w:rFonts w:ascii="Times" w:eastAsia="Times New Roman" w:hAnsi="Times" w:cs="Times New Roman"/>
          <w:sz w:val="22"/>
          <w:szCs w:val="22"/>
          <w:vertAlign w:val="superscript"/>
        </w:rPr>
        <w:t>2</w:t>
      </w:r>
      <w:r w:rsidRPr="00037E95">
        <w:rPr>
          <w:rFonts w:ascii="Times" w:eastAsia="Times New Roman" w:hAnsi="Times" w:cs="Times New Roman"/>
          <w:sz w:val="22"/>
          <w:szCs w:val="22"/>
        </w:rPr>
        <w:t>, Istvan Mucsi</w:t>
      </w:r>
      <w:r w:rsidRPr="00037E95">
        <w:rPr>
          <w:rFonts w:ascii="Times" w:eastAsia="Times New Roman" w:hAnsi="Times" w:cs="Times New Roman"/>
          <w:sz w:val="22"/>
          <w:szCs w:val="22"/>
          <w:vertAlign w:val="superscript"/>
        </w:rPr>
        <w:t>1</w:t>
      </w:r>
    </w:p>
    <w:p w14:paraId="546D6618" w14:textId="77777777" w:rsidR="00037E95" w:rsidRPr="00037E95" w:rsidRDefault="00037E95" w:rsidP="00791557">
      <w:pPr>
        <w:rPr>
          <w:rFonts w:ascii="Times" w:eastAsia="Times New Roman" w:hAnsi="Times" w:cs="Times New Roman"/>
          <w:sz w:val="22"/>
          <w:szCs w:val="22"/>
          <w:vertAlign w:val="superscript"/>
        </w:rPr>
      </w:pPr>
    </w:p>
    <w:p w14:paraId="142154D9" w14:textId="77777777" w:rsidR="00791557" w:rsidRPr="00037E95" w:rsidRDefault="00791557" w:rsidP="00791557">
      <w:pPr>
        <w:numPr>
          <w:ilvl w:val="0"/>
          <w:numId w:val="1"/>
        </w:numPr>
        <w:spacing w:line="276" w:lineRule="auto"/>
        <w:ind w:hanging="360"/>
        <w:contextualSpacing/>
        <w:rPr>
          <w:rFonts w:ascii="Times" w:eastAsia="Times New Roman" w:hAnsi="Times" w:cs="Times New Roman"/>
          <w:sz w:val="22"/>
          <w:szCs w:val="22"/>
        </w:rPr>
      </w:pPr>
      <w:r w:rsidRPr="00037E95">
        <w:rPr>
          <w:rFonts w:ascii="Times" w:eastAsia="Times New Roman" w:hAnsi="Times" w:cs="Times New Roman"/>
          <w:sz w:val="22"/>
          <w:szCs w:val="22"/>
        </w:rPr>
        <w:t xml:space="preserve">University Health Network, Toronto, ON, Canada </w:t>
      </w:r>
    </w:p>
    <w:p w14:paraId="5EECEBA6" w14:textId="0CEB5FF4" w:rsidR="00791557" w:rsidRPr="00037E95" w:rsidRDefault="00791557" w:rsidP="00791557">
      <w:pPr>
        <w:numPr>
          <w:ilvl w:val="0"/>
          <w:numId w:val="1"/>
        </w:numPr>
        <w:spacing w:line="276" w:lineRule="auto"/>
        <w:ind w:hanging="360"/>
        <w:contextualSpacing/>
        <w:rPr>
          <w:rFonts w:ascii="Times" w:eastAsia="Times New Roman" w:hAnsi="Times" w:cs="Times New Roman"/>
          <w:sz w:val="22"/>
          <w:szCs w:val="22"/>
        </w:rPr>
      </w:pPr>
      <w:r w:rsidRPr="00037E95">
        <w:rPr>
          <w:rFonts w:ascii="Times" w:eastAsia="Times New Roman" w:hAnsi="Times" w:cs="Calibri"/>
          <w:color w:val="201F1E"/>
          <w:sz w:val="22"/>
          <w:szCs w:val="22"/>
          <w:shd w:val="clear" w:color="auto" w:fill="FFFFFF"/>
        </w:rPr>
        <w:t>University of California, Los Angeles, Los Angeles, USA</w:t>
      </w:r>
    </w:p>
    <w:p w14:paraId="5821C921" w14:textId="77777777" w:rsidR="00037E95" w:rsidRPr="00037E95" w:rsidRDefault="00037E95" w:rsidP="00037E95">
      <w:pPr>
        <w:spacing w:line="276" w:lineRule="auto"/>
        <w:ind w:left="720"/>
        <w:contextualSpacing/>
        <w:rPr>
          <w:rFonts w:ascii="Times" w:eastAsia="Times New Roman" w:hAnsi="Times" w:cs="Times New Roman"/>
          <w:b/>
          <w:bCs/>
          <w:sz w:val="22"/>
          <w:szCs w:val="22"/>
        </w:rPr>
      </w:pPr>
    </w:p>
    <w:p w14:paraId="640ABD70" w14:textId="5F2FAD35" w:rsidR="00037E95" w:rsidRPr="00037E95" w:rsidRDefault="00037E95" w:rsidP="00037E95">
      <w:pPr>
        <w:spacing w:line="276" w:lineRule="auto"/>
        <w:contextualSpacing/>
        <w:rPr>
          <w:rFonts w:ascii="Times" w:eastAsia="Times New Roman" w:hAnsi="Times" w:cs="Times New Roman"/>
          <w:b/>
          <w:bCs/>
          <w:sz w:val="22"/>
          <w:szCs w:val="22"/>
        </w:rPr>
      </w:pPr>
      <w:r w:rsidRPr="00037E95">
        <w:rPr>
          <w:rFonts w:ascii="Times" w:eastAsia="Times New Roman" w:hAnsi="Times" w:cs="Times New Roman"/>
          <w:b/>
          <w:bCs/>
          <w:sz w:val="22"/>
          <w:szCs w:val="22"/>
        </w:rPr>
        <w:t>Purpose:</w:t>
      </w:r>
    </w:p>
    <w:p w14:paraId="2EC5714B" w14:textId="77777777" w:rsidR="00037E95" w:rsidRPr="00037E95" w:rsidRDefault="00037E95" w:rsidP="00037E95">
      <w:pPr>
        <w:spacing w:line="276" w:lineRule="auto"/>
        <w:ind w:left="720"/>
        <w:contextualSpacing/>
        <w:rPr>
          <w:rFonts w:ascii="Times" w:eastAsia="Times New Roman" w:hAnsi="Times" w:cs="Times New Roman"/>
          <w:sz w:val="22"/>
          <w:szCs w:val="22"/>
        </w:rPr>
      </w:pPr>
    </w:p>
    <w:p w14:paraId="64502F25" w14:textId="4314AB49" w:rsidR="00791557" w:rsidRPr="00037E95" w:rsidRDefault="00791557" w:rsidP="00791557">
      <w:pPr>
        <w:rPr>
          <w:rFonts w:ascii="Times" w:hAnsi="Times" w:cs="Times New Roman"/>
          <w:sz w:val="22"/>
          <w:szCs w:val="22"/>
        </w:rPr>
      </w:pPr>
      <w:r w:rsidRPr="00037E95">
        <w:rPr>
          <w:rFonts w:ascii="Times" w:hAnsi="Times" w:cs="Times New Roman"/>
          <w:sz w:val="22"/>
          <w:szCs w:val="22"/>
        </w:rPr>
        <w:t xml:space="preserve">We </w:t>
      </w:r>
      <w:r w:rsidRPr="00037E95">
        <w:rPr>
          <w:rFonts w:ascii="Times" w:eastAsia="Times New Roman" w:hAnsi="Times" w:cs="Times New Roman"/>
          <w:color w:val="000000"/>
          <w:sz w:val="22"/>
          <w:szCs w:val="22"/>
        </w:rPr>
        <w:t>examined the relationship between sex and the relative importance of pros and cons in kidney transplant (KT) decision making</w:t>
      </w:r>
      <w:r w:rsidRPr="00037E95">
        <w:rPr>
          <w:rFonts w:ascii="Times" w:hAnsi="Times" w:cs="Times New Roman"/>
          <w:sz w:val="22"/>
          <w:szCs w:val="22"/>
        </w:rPr>
        <w:t>.</w:t>
      </w:r>
    </w:p>
    <w:p w14:paraId="0AFBF1FB" w14:textId="7E7ED138" w:rsidR="00037E95" w:rsidRPr="00037E95" w:rsidRDefault="00037E95" w:rsidP="00791557">
      <w:pPr>
        <w:rPr>
          <w:rFonts w:ascii="Times" w:hAnsi="Times" w:cs="Times New Roman"/>
          <w:sz w:val="22"/>
          <w:szCs w:val="22"/>
        </w:rPr>
      </w:pPr>
    </w:p>
    <w:p w14:paraId="622D4388" w14:textId="7BF5D716" w:rsidR="00037E95" w:rsidRPr="00037E95" w:rsidRDefault="00037E95" w:rsidP="00791557">
      <w:pPr>
        <w:rPr>
          <w:rFonts w:ascii="Times" w:hAnsi="Times" w:cs="Times New Roman"/>
          <w:sz w:val="22"/>
          <w:szCs w:val="22"/>
        </w:rPr>
      </w:pPr>
      <w:r w:rsidRPr="00037E95">
        <w:rPr>
          <w:rFonts w:ascii="Times" w:hAnsi="Times" w:cs="Times New Roman"/>
          <w:b/>
          <w:bCs/>
          <w:sz w:val="22"/>
          <w:szCs w:val="22"/>
        </w:rPr>
        <w:t>Methods</w:t>
      </w:r>
      <w:r w:rsidRPr="00037E95">
        <w:rPr>
          <w:rFonts w:ascii="Times" w:hAnsi="Times" w:cs="Times New Roman"/>
          <w:sz w:val="22"/>
          <w:szCs w:val="22"/>
        </w:rPr>
        <w:t>:</w:t>
      </w:r>
    </w:p>
    <w:p w14:paraId="35F7A24C" w14:textId="77777777" w:rsidR="00037E95" w:rsidRPr="00037E95" w:rsidRDefault="00037E95" w:rsidP="00791557">
      <w:pPr>
        <w:rPr>
          <w:rFonts w:ascii="Times" w:hAnsi="Times" w:cs="Times New Roman"/>
          <w:b/>
          <w:bCs/>
          <w:sz w:val="22"/>
          <w:szCs w:val="22"/>
        </w:rPr>
      </w:pPr>
    </w:p>
    <w:p w14:paraId="33F3223E" w14:textId="21496972" w:rsidR="00791557" w:rsidRPr="00037E95" w:rsidRDefault="00791557" w:rsidP="00791557">
      <w:pPr>
        <w:rPr>
          <w:rFonts w:ascii="Times" w:hAnsi="Times" w:cs="Times New Roman"/>
          <w:sz w:val="22"/>
          <w:szCs w:val="22"/>
        </w:rPr>
      </w:pPr>
      <w:r w:rsidRPr="00037E95">
        <w:rPr>
          <w:rFonts w:ascii="Times" w:hAnsi="Times" w:cs="Times New Roman"/>
          <w:sz w:val="22"/>
          <w:szCs w:val="22"/>
        </w:rPr>
        <w:t xml:space="preserve">A convenience sample of adults on dialysis from Toronto completed the Decisional Balance Survey. Sex was self-identified as “Male” and “Female” (exposure). Patients rated the importance of potentially positive and negative outcomes to their decision about transplant on a scale ranging from 1 to 5 (‘not important’ to ‘extremely important’). Living donor KT (LDKT) and deceased donor KT (DDKT) pro and con scores were calculated by summing individual item scores. Items then were dichotomized (not/slightly/moderately vs very/extremely important) and their association with sex was analyzed in multivariable logistic regression models. </w:t>
      </w:r>
    </w:p>
    <w:p w14:paraId="1B13D330" w14:textId="185EF709" w:rsidR="00037E95" w:rsidRPr="00037E95" w:rsidRDefault="00037E95" w:rsidP="00791557">
      <w:pPr>
        <w:rPr>
          <w:rFonts w:ascii="Times" w:hAnsi="Times" w:cs="Times New Roman"/>
          <w:sz w:val="22"/>
          <w:szCs w:val="22"/>
        </w:rPr>
      </w:pPr>
    </w:p>
    <w:p w14:paraId="0E37C5BA" w14:textId="241C2216" w:rsidR="00037E95" w:rsidRPr="00037E95" w:rsidRDefault="00037E95" w:rsidP="00791557">
      <w:pPr>
        <w:rPr>
          <w:rFonts w:ascii="Times" w:hAnsi="Times" w:cs="Times New Roman"/>
          <w:b/>
          <w:bCs/>
          <w:sz w:val="22"/>
          <w:szCs w:val="22"/>
        </w:rPr>
      </w:pPr>
      <w:r w:rsidRPr="00037E95">
        <w:rPr>
          <w:rFonts w:ascii="Times" w:hAnsi="Times" w:cs="Times New Roman"/>
          <w:b/>
          <w:bCs/>
          <w:sz w:val="22"/>
          <w:szCs w:val="22"/>
        </w:rPr>
        <w:t xml:space="preserve">Results: </w:t>
      </w:r>
    </w:p>
    <w:p w14:paraId="52B0F0C8" w14:textId="77777777" w:rsidR="00037E95" w:rsidRPr="00037E95" w:rsidRDefault="00037E95" w:rsidP="00791557">
      <w:pPr>
        <w:rPr>
          <w:rFonts w:ascii="Times" w:hAnsi="Times" w:cs="Times New Roman"/>
          <w:sz w:val="22"/>
          <w:szCs w:val="22"/>
        </w:rPr>
      </w:pPr>
    </w:p>
    <w:p w14:paraId="117566B0" w14:textId="61E16A2D" w:rsidR="00791557" w:rsidRPr="00037E95" w:rsidRDefault="00791557" w:rsidP="00791557">
      <w:pPr>
        <w:rPr>
          <w:rFonts w:ascii="Times" w:eastAsia="Times New Roman" w:hAnsi="Times" w:cs="Times New Roman"/>
          <w:color w:val="000000" w:themeColor="text1"/>
          <w:sz w:val="22"/>
          <w:szCs w:val="22"/>
        </w:rPr>
      </w:pPr>
      <w:bookmarkStart w:id="0" w:name="_GoBack"/>
      <w:r w:rsidRPr="00037E95">
        <w:rPr>
          <w:rFonts w:ascii="Times" w:hAnsi="Times" w:cs="Times New Roman"/>
          <w:sz w:val="22"/>
          <w:szCs w:val="22"/>
        </w:rPr>
        <w:t xml:space="preserve">Of the 526 participants (mean [SD] age </w:t>
      </w:r>
      <w:r w:rsidRPr="00037E95">
        <w:rPr>
          <w:rFonts w:ascii="Times" w:eastAsia="Times New Roman" w:hAnsi="Times" w:cs="Times New Roman"/>
          <w:color w:val="000000" w:themeColor="text1"/>
          <w:sz w:val="22"/>
          <w:szCs w:val="22"/>
        </w:rPr>
        <w:t>57 [14] years) 37% were female. Sociodemographic characteristics were similar, except female participants were less likely to be married (42% vs 59%, p=0.002). The median [IQR] LDKT pro (18[15,21] vs 17[13,20]; p=0.037) and LDKT con (13[8,18] vs 12[8,17]; p=0.363) scores were similar between females and males. However, females rated DDKT pro (20[17,23 vs 19[16,22]; p=0.001) and DDKT con (12[7,16] vs 9[5,14]; p</w:t>
      </w:r>
      <w:r w:rsidR="002467B6">
        <w:rPr>
          <w:rFonts w:ascii="Times" w:eastAsia="Times New Roman" w:hAnsi="Times" w:cs="Times New Roman"/>
          <w:color w:val="000000" w:themeColor="text1"/>
          <w:sz w:val="22"/>
          <w:szCs w:val="22"/>
        </w:rPr>
        <w:t>&lt;</w:t>
      </w:r>
      <w:r w:rsidRPr="00037E95">
        <w:rPr>
          <w:rFonts w:ascii="Times" w:eastAsia="Times New Roman" w:hAnsi="Times" w:cs="Times New Roman"/>
          <w:color w:val="000000" w:themeColor="text1"/>
          <w:sz w:val="22"/>
          <w:szCs w:val="22"/>
        </w:rPr>
        <w:t xml:space="preserve">0.001) significantly higher. </w:t>
      </w:r>
    </w:p>
    <w:p w14:paraId="738C0D15" w14:textId="77777777" w:rsidR="00037E95" w:rsidRPr="00037E95" w:rsidRDefault="00037E95" w:rsidP="00791557">
      <w:pPr>
        <w:rPr>
          <w:rFonts w:ascii="Times" w:eastAsia="Times New Roman" w:hAnsi="Times" w:cs="Times New Roman"/>
          <w:color w:val="000000" w:themeColor="text1"/>
          <w:sz w:val="22"/>
          <w:szCs w:val="22"/>
        </w:rPr>
      </w:pPr>
    </w:p>
    <w:p w14:paraId="5FF13053" w14:textId="55584AF6" w:rsidR="00791557" w:rsidRDefault="00791557" w:rsidP="00791557">
      <w:pPr>
        <w:rPr>
          <w:rFonts w:ascii="Times" w:eastAsia="Times New Roman" w:hAnsi="Times" w:cs="Times New Roman"/>
          <w:color w:val="000000" w:themeColor="text1"/>
          <w:sz w:val="22"/>
          <w:szCs w:val="22"/>
        </w:rPr>
      </w:pPr>
      <w:r w:rsidRPr="00037E95">
        <w:rPr>
          <w:rFonts w:ascii="Times" w:eastAsia="Times New Roman" w:hAnsi="Times" w:cs="Times New Roman"/>
          <w:color w:val="000000" w:themeColor="text1"/>
          <w:sz w:val="22"/>
          <w:szCs w:val="22"/>
        </w:rPr>
        <w:t>None of the individual LDKT items, nor the DDKT pro items were significantly associated with sex. However, five out of the six DDKT con items were strongly associated with sex, but the "risk of dying during surgery" was not. These associations remained significant after adjusting for sociodemographic variables, comorbidity, ethnicity and transplant knowledge.</w:t>
      </w:r>
    </w:p>
    <w:p w14:paraId="3740953C" w14:textId="77777777" w:rsidR="00752C2C" w:rsidRPr="00037E95" w:rsidRDefault="00752C2C" w:rsidP="00791557">
      <w:pPr>
        <w:rPr>
          <w:rFonts w:ascii="Times" w:eastAsia="Times New Roman" w:hAnsi="Times" w:cs="Times New Roman"/>
          <w:color w:val="000000" w:themeColor="text1"/>
          <w:sz w:val="22"/>
          <w:szCs w:val="22"/>
        </w:rPr>
      </w:pPr>
    </w:p>
    <w:p w14:paraId="42D7B772" w14:textId="5FAF9E96" w:rsidR="00791557" w:rsidRPr="00037E95" w:rsidRDefault="00791557" w:rsidP="00791557">
      <w:pPr>
        <w:rPr>
          <w:rFonts w:ascii="Times" w:eastAsia="Times New Roman" w:hAnsi="Times" w:cs="Times New Roman"/>
          <w:color w:val="000000" w:themeColor="text1"/>
          <w:sz w:val="22"/>
          <w:szCs w:val="22"/>
        </w:rPr>
      </w:pPr>
      <w:r w:rsidRPr="00037E95">
        <w:rPr>
          <w:rFonts w:ascii="Times" w:eastAsia="Times New Roman" w:hAnsi="Times" w:cs="Times New Roman"/>
          <w:color w:val="000000" w:themeColor="text1"/>
          <w:sz w:val="22"/>
          <w:szCs w:val="22"/>
        </w:rPr>
        <w:t>For example, compared to males, females were twice as likely to indicate that the anticipated pain during surgery (OR=2.21, CI=1.36-3.58, p=0.002), the need to take a lot of medication after transplant (OR=1.97, CI=1.31-2.95, p=0.001) and concerns about being able to pay for transplant drugs (OR=2.60, CI=1.63-4.16, p</w:t>
      </w:r>
      <w:r w:rsidR="002467B6">
        <w:rPr>
          <w:rFonts w:ascii="Times" w:eastAsia="Times New Roman" w:hAnsi="Times" w:cs="Times New Roman"/>
          <w:color w:val="000000" w:themeColor="text1"/>
          <w:sz w:val="22"/>
          <w:szCs w:val="22"/>
        </w:rPr>
        <w:t>&lt;</w:t>
      </w:r>
      <w:r w:rsidRPr="00037E95">
        <w:rPr>
          <w:rFonts w:ascii="Times" w:eastAsia="Times New Roman" w:hAnsi="Times" w:cs="Times New Roman"/>
          <w:color w:val="000000" w:themeColor="text1"/>
          <w:sz w:val="22"/>
          <w:szCs w:val="22"/>
        </w:rPr>
        <w:t xml:space="preserve">0.001) were very/extremely important to their transplant decision-making. </w:t>
      </w:r>
    </w:p>
    <w:bookmarkEnd w:id="0"/>
    <w:p w14:paraId="23A7CAB4" w14:textId="141ACEF6" w:rsidR="00037E95" w:rsidRPr="00037E95" w:rsidRDefault="00037E95" w:rsidP="00791557">
      <w:pPr>
        <w:rPr>
          <w:rFonts w:ascii="Times" w:eastAsia="Times New Roman" w:hAnsi="Times" w:cs="Times New Roman"/>
          <w:color w:val="000000" w:themeColor="text1"/>
          <w:sz w:val="22"/>
          <w:szCs w:val="22"/>
        </w:rPr>
      </w:pPr>
    </w:p>
    <w:p w14:paraId="63826A23" w14:textId="6EBBEE45" w:rsidR="00037E95" w:rsidRDefault="00037E95" w:rsidP="00791557">
      <w:pPr>
        <w:rPr>
          <w:rFonts w:ascii="Times" w:eastAsia="Times New Roman" w:hAnsi="Times" w:cs="Times New Roman"/>
          <w:b/>
          <w:bCs/>
          <w:color w:val="000000" w:themeColor="text1"/>
          <w:sz w:val="22"/>
          <w:szCs w:val="22"/>
        </w:rPr>
      </w:pPr>
      <w:r w:rsidRPr="00037E95">
        <w:rPr>
          <w:rFonts w:ascii="Times" w:eastAsia="Times New Roman" w:hAnsi="Times" w:cs="Times New Roman"/>
          <w:b/>
          <w:bCs/>
          <w:color w:val="000000" w:themeColor="text1"/>
          <w:sz w:val="22"/>
          <w:szCs w:val="22"/>
        </w:rPr>
        <w:t>Conclusion:</w:t>
      </w:r>
    </w:p>
    <w:p w14:paraId="3AB0CAA6" w14:textId="77777777" w:rsidR="00575C0D" w:rsidRPr="00037E95" w:rsidRDefault="00575C0D" w:rsidP="00791557">
      <w:pPr>
        <w:rPr>
          <w:rFonts w:ascii="Times" w:hAnsi="Times" w:cs="Times New Roman"/>
          <w:b/>
          <w:bCs/>
          <w:sz w:val="22"/>
          <w:szCs w:val="22"/>
        </w:rPr>
      </w:pPr>
    </w:p>
    <w:p w14:paraId="68A55B57" w14:textId="77777777" w:rsidR="00791557" w:rsidRPr="00037E95" w:rsidRDefault="00791557" w:rsidP="00791557">
      <w:pPr>
        <w:rPr>
          <w:rFonts w:ascii="Times" w:hAnsi="Times" w:cs="Times New Roman"/>
          <w:sz w:val="22"/>
          <w:szCs w:val="22"/>
        </w:rPr>
      </w:pPr>
      <w:r w:rsidRPr="00037E95">
        <w:rPr>
          <w:rFonts w:ascii="Times" w:hAnsi="Times" w:cs="Times New Roman"/>
          <w:sz w:val="22"/>
          <w:szCs w:val="22"/>
        </w:rPr>
        <w:t>When making transplant decisions, female kidney patients were more concerned about potential pain, and the cost of immunosuppressive drugs than males.  Further qualitative research is needed to better understand these sex-specific differences in decision making to enable more tailored support to issues concerning to women to ensure equitable access to transplant.</w:t>
      </w:r>
    </w:p>
    <w:p w14:paraId="4E9CA592" w14:textId="77777777" w:rsidR="00907CF7" w:rsidRPr="00037E95" w:rsidRDefault="002467B6" w:rsidP="00791557">
      <w:pPr>
        <w:rPr>
          <w:rFonts w:ascii="Times" w:hAnsi="Times"/>
          <w:sz w:val="22"/>
          <w:szCs w:val="22"/>
        </w:rPr>
      </w:pPr>
    </w:p>
    <w:sectPr w:rsidR="00907CF7" w:rsidRPr="00037E95" w:rsidSect="003F2A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33558"/>
    <w:multiLevelType w:val="multilevel"/>
    <w:tmpl w:val="82E289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57"/>
    <w:rsid w:val="00002A6E"/>
    <w:rsid w:val="00003A05"/>
    <w:rsid w:val="00037E95"/>
    <w:rsid w:val="00056FEE"/>
    <w:rsid w:val="000B1A79"/>
    <w:rsid w:val="00165FE1"/>
    <w:rsid w:val="001B67C9"/>
    <w:rsid w:val="001E28D8"/>
    <w:rsid w:val="002467B6"/>
    <w:rsid w:val="0029710F"/>
    <w:rsid w:val="003E1EEC"/>
    <w:rsid w:val="003F2AB1"/>
    <w:rsid w:val="0052258F"/>
    <w:rsid w:val="00575C0D"/>
    <w:rsid w:val="005C4F5C"/>
    <w:rsid w:val="006766B5"/>
    <w:rsid w:val="00752C2C"/>
    <w:rsid w:val="00791557"/>
    <w:rsid w:val="008516C3"/>
    <w:rsid w:val="008664BA"/>
    <w:rsid w:val="008B7A44"/>
    <w:rsid w:val="00935385"/>
    <w:rsid w:val="00957703"/>
    <w:rsid w:val="00965392"/>
    <w:rsid w:val="009F57A3"/>
    <w:rsid w:val="00AE5C94"/>
    <w:rsid w:val="00B217AA"/>
    <w:rsid w:val="00B31CC0"/>
    <w:rsid w:val="00CF327E"/>
    <w:rsid w:val="00DA33E4"/>
    <w:rsid w:val="00F149C3"/>
    <w:rsid w:val="00F61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05F61F"/>
  <w15:chartTrackingRefBased/>
  <w15:docId w15:val="{AFC599A4-4785-AB44-9642-EFB34D1F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57"/>
    <w:pPr>
      <w:ind w:left="720"/>
      <w:contextualSpacing/>
    </w:pPr>
  </w:style>
  <w:style w:type="paragraph" w:styleId="BalloonText">
    <w:name w:val="Balloon Text"/>
    <w:basedOn w:val="Normal"/>
    <w:link w:val="BalloonTextChar"/>
    <w:uiPriority w:val="99"/>
    <w:semiHidden/>
    <w:unhideWhenUsed/>
    <w:rsid w:val="007915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5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Aghna Wasim</dc:creator>
  <cp:keywords/>
  <dc:description/>
  <cp:lastModifiedBy>Aghna Wasim</cp:lastModifiedBy>
  <cp:revision>5</cp:revision>
  <dcterms:created xsi:type="dcterms:W3CDTF">2019-12-06T21:44:00Z</dcterms:created>
  <dcterms:modified xsi:type="dcterms:W3CDTF">2019-12-11T08:56:00Z</dcterms:modified>
</cp:coreProperties>
</file>